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CA7E" w14:textId="53F23BCF" w:rsidR="00E707E6" w:rsidRDefault="00E707E6" w:rsidP="00E707E6">
      <w:pPr>
        <w:spacing w:after="0"/>
        <w:jc w:val="center"/>
        <w:rPr>
          <w:b/>
          <w:bCs/>
        </w:rPr>
      </w:pPr>
      <w:r>
        <w:rPr>
          <w:b/>
          <w:bCs/>
        </w:rPr>
        <w:t>The Wates Foundation</w:t>
      </w:r>
    </w:p>
    <w:p w14:paraId="0EED6784" w14:textId="325C1114" w:rsidR="00E707E6" w:rsidRDefault="00E707E6" w:rsidP="00E707E6">
      <w:pPr>
        <w:spacing w:after="0"/>
        <w:jc w:val="center"/>
        <w:rPr>
          <w:b/>
          <w:bCs/>
        </w:rPr>
      </w:pPr>
      <w:r>
        <w:rPr>
          <w:b/>
          <w:bCs/>
        </w:rPr>
        <w:t>What We Do &amp; Do Not Fund.</w:t>
      </w:r>
    </w:p>
    <w:p w14:paraId="1107F2B4" w14:textId="78F68CF9" w:rsidR="00E707E6" w:rsidRDefault="00E707E6" w:rsidP="00E707E6">
      <w:pPr>
        <w:spacing w:after="0"/>
        <w:jc w:val="center"/>
        <w:rPr>
          <w:b/>
          <w:bCs/>
        </w:rPr>
      </w:pPr>
    </w:p>
    <w:p w14:paraId="258B2565" w14:textId="77777777" w:rsidR="00E707E6" w:rsidRPr="00E707E6" w:rsidRDefault="00E707E6" w:rsidP="00E707E6">
      <w:pPr>
        <w:spacing w:after="0"/>
        <w:jc w:val="center"/>
        <w:rPr>
          <w:b/>
          <w:bCs/>
        </w:rPr>
      </w:pPr>
    </w:p>
    <w:p w14:paraId="0F26F15B" w14:textId="77777777" w:rsidR="00B30811" w:rsidRDefault="00E707E6" w:rsidP="00B30811">
      <w:pPr>
        <w:spacing w:after="0"/>
      </w:pPr>
      <w:proofErr w:type="gramStart"/>
      <w:r>
        <w:t xml:space="preserve">As a pro-active grant-maker, </w:t>
      </w:r>
      <w:r w:rsidR="00B30811">
        <w:t>grantees</w:t>
      </w:r>
      <w:proofErr w:type="gramEnd"/>
      <w:r>
        <w:t xml:space="preserve"> are identified by Wates family members, and must have an annual income of </w:t>
      </w:r>
      <w:r>
        <w:rPr>
          <w:b/>
          <w:bCs/>
        </w:rPr>
        <w:t>under £3,000,000</w:t>
      </w:r>
      <w:r>
        <w:t>.</w:t>
      </w:r>
      <w:r>
        <w:t xml:space="preserve">  </w:t>
      </w:r>
    </w:p>
    <w:p w14:paraId="1740050D" w14:textId="2E15A350" w:rsidR="00E707E6" w:rsidRPr="00E707E6" w:rsidRDefault="00E707E6" w:rsidP="00B30811">
      <w:pPr>
        <w:spacing w:after="0"/>
      </w:pPr>
      <w:r>
        <w:t xml:space="preserve">Applications are by </w:t>
      </w:r>
      <w:r>
        <w:rPr>
          <w:b/>
          <w:bCs/>
        </w:rPr>
        <w:t>invite only</w:t>
      </w:r>
      <w:r>
        <w:t>, except in special circumstances.</w:t>
      </w:r>
    </w:p>
    <w:p w14:paraId="6D4CD572" w14:textId="77777777" w:rsidR="00B30811" w:rsidRDefault="00B30811" w:rsidP="00E707E6"/>
    <w:p w14:paraId="5F713221" w14:textId="55AD1D60" w:rsidR="00E707E6" w:rsidRDefault="00E707E6" w:rsidP="00E707E6">
      <w:r>
        <w:t>The Wates Foundation makes small grants to these organisations which align with our 7 themes:</w:t>
      </w:r>
    </w:p>
    <w:p w14:paraId="3DEE5EC4" w14:textId="2C54516D" w:rsidR="00E707E6" w:rsidRDefault="00E707E6" w:rsidP="00E707E6">
      <w:pPr>
        <w:pStyle w:val="ListParagraph"/>
        <w:numPr>
          <w:ilvl w:val="0"/>
          <w:numId w:val="1"/>
        </w:numPr>
      </w:pPr>
      <w:r>
        <w:t>Building Social Values</w:t>
      </w:r>
    </w:p>
    <w:p w14:paraId="39C492C6" w14:textId="171023FC" w:rsidR="00E707E6" w:rsidRDefault="00E707E6" w:rsidP="00E707E6">
      <w:pPr>
        <w:pStyle w:val="ListParagraph"/>
        <w:numPr>
          <w:ilvl w:val="0"/>
          <w:numId w:val="1"/>
        </w:numPr>
      </w:pPr>
      <w:r>
        <w:t>Community Health</w:t>
      </w:r>
    </w:p>
    <w:p w14:paraId="61414759" w14:textId="717DC537" w:rsidR="00E707E6" w:rsidRDefault="00E707E6" w:rsidP="00E707E6">
      <w:pPr>
        <w:pStyle w:val="ListParagraph"/>
        <w:numPr>
          <w:ilvl w:val="0"/>
          <w:numId w:val="1"/>
        </w:numPr>
      </w:pPr>
      <w:r>
        <w:t>Education &amp; Employment</w:t>
      </w:r>
    </w:p>
    <w:p w14:paraId="0103B004" w14:textId="7AC66E53" w:rsidR="00E707E6" w:rsidRDefault="00E707E6" w:rsidP="00E707E6">
      <w:pPr>
        <w:pStyle w:val="ListParagraph"/>
        <w:numPr>
          <w:ilvl w:val="0"/>
          <w:numId w:val="1"/>
        </w:numPr>
      </w:pPr>
      <w:r>
        <w:t>Environment</w:t>
      </w:r>
    </w:p>
    <w:p w14:paraId="29835366" w14:textId="0B951EEC" w:rsidR="00E707E6" w:rsidRDefault="00E707E6" w:rsidP="00E707E6">
      <w:pPr>
        <w:pStyle w:val="ListParagraph"/>
        <w:numPr>
          <w:ilvl w:val="0"/>
          <w:numId w:val="1"/>
        </w:numPr>
        <w:spacing w:after="0"/>
      </w:pPr>
      <w:r>
        <w:t>Life Transitions</w:t>
      </w:r>
    </w:p>
    <w:p w14:paraId="72CFF08A" w14:textId="67568A50" w:rsidR="00E707E6" w:rsidRDefault="00E707E6" w:rsidP="00E707E6">
      <w:pPr>
        <w:pStyle w:val="ListParagraph"/>
        <w:numPr>
          <w:ilvl w:val="0"/>
          <w:numId w:val="1"/>
        </w:numPr>
        <w:spacing w:after="0"/>
      </w:pPr>
      <w:r>
        <w:t>Safer Communities</w:t>
      </w:r>
    </w:p>
    <w:p w14:paraId="0ECE163B" w14:textId="37A573FF" w:rsidR="00E707E6" w:rsidRDefault="00E707E6" w:rsidP="00E707E6">
      <w:pPr>
        <w:pStyle w:val="ListParagraph"/>
        <w:numPr>
          <w:ilvl w:val="0"/>
          <w:numId w:val="1"/>
        </w:numPr>
        <w:spacing w:after="0"/>
      </w:pPr>
      <w:r>
        <w:t>Strengthening the Voluntary Sector</w:t>
      </w:r>
    </w:p>
    <w:p w14:paraId="615FC198" w14:textId="77777777" w:rsidR="00B30811" w:rsidRDefault="00B30811" w:rsidP="00B30811">
      <w:pPr>
        <w:spacing w:after="0"/>
      </w:pPr>
    </w:p>
    <w:p w14:paraId="21910F8E" w14:textId="6458800B" w:rsidR="00E707E6" w:rsidRDefault="00E707E6" w:rsidP="00E707E6">
      <w:pPr>
        <w:spacing w:after="0"/>
      </w:pPr>
      <w:r>
        <w:t xml:space="preserve">More detailed information on each of these themes can be found on our </w:t>
      </w:r>
      <w:hyperlink r:id="rId7" w:history="1">
        <w:r w:rsidRPr="00E707E6">
          <w:rPr>
            <w:rStyle w:val="Hyperlink"/>
          </w:rPr>
          <w:t>website</w:t>
        </w:r>
      </w:hyperlink>
      <w:r>
        <w:t>.</w:t>
      </w:r>
    </w:p>
    <w:p w14:paraId="26C9402A" w14:textId="3A008B3F" w:rsidR="00E707E6" w:rsidRDefault="00E707E6" w:rsidP="00E707E6"/>
    <w:p w14:paraId="7B40578D" w14:textId="4B97196E" w:rsidR="00E707E6" w:rsidRDefault="00B30811" w:rsidP="00E707E6">
      <w:r>
        <w:rPr>
          <w:b/>
          <w:bCs/>
        </w:rPr>
        <w:t>Ex</w:t>
      </w:r>
      <w:r w:rsidR="00E707E6" w:rsidRPr="00E707E6">
        <w:rPr>
          <w:b/>
          <w:bCs/>
        </w:rPr>
        <w:t>clusions</w:t>
      </w:r>
      <w:r w:rsidR="00E707E6">
        <w:t xml:space="preserve"> to what we can fund</w:t>
      </w:r>
      <w:r>
        <w:t xml:space="preserve"> are</w:t>
      </w:r>
      <w:r w:rsidR="00E707E6">
        <w:t xml:space="preserve"> listed below:</w:t>
      </w:r>
    </w:p>
    <w:p w14:paraId="72EBF270" w14:textId="5E5B8E97" w:rsidR="00E707E6" w:rsidRDefault="00E707E6" w:rsidP="00E707E6">
      <w:pPr>
        <w:pStyle w:val="ListParagraph"/>
        <w:numPr>
          <w:ilvl w:val="0"/>
          <w:numId w:val="2"/>
        </w:numPr>
      </w:pPr>
      <w:r>
        <w:t>Work that is not legally charitable</w:t>
      </w:r>
      <w:r>
        <w:t>.</w:t>
      </w:r>
    </w:p>
    <w:p w14:paraId="60C09511" w14:textId="4DDE0EBD" w:rsidR="00E707E6" w:rsidRDefault="00E707E6" w:rsidP="00E707E6">
      <w:pPr>
        <w:pStyle w:val="ListParagraph"/>
        <w:numPr>
          <w:ilvl w:val="0"/>
          <w:numId w:val="2"/>
        </w:numPr>
      </w:pPr>
      <w:r>
        <w:t xml:space="preserve">Political parties, political </w:t>
      </w:r>
      <w:proofErr w:type="gramStart"/>
      <w:r>
        <w:t>lobbying</w:t>
      </w:r>
      <w:proofErr w:type="gramEnd"/>
      <w:r>
        <w:t xml:space="preserve"> or campaigning.</w:t>
      </w:r>
    </w:p>
    <w:p w14:paraId="57239A0C" w14:textId="1B3D9AD2" w:rsidR="00E707E6" w:rsidRDefault="00E707E6" w:rsidP="00E707E6">
      <w:pPr>
        <w:pStyle w:val="ListParagraph"/>
        <w:numPr>
          <w:ilvl w:val="0"/>
          <w:numId w:val="2"/>
        </w:numPr>
      </w:pPr>
      <w:r>
        <w:t xml:space="preserve">Churches, other religious organisations, </w:t>
      </w:r>
      <w:proofErr w:type="gramStart"/>
      <w:r>
        <w:t>community</w:t>
      </w:r>
      <w:proofErr w:type="gramEnd"/>
      <w:r>
        <w:t xml:space="preserve"> or charitable organisations, where an award will be used for promoting religion generally, or for a specific faith. This does not exclude awards to any such organisations where the purpose is for the benefit of the public (health; poverty; education; social behaviour; young people; the elderly; etc).</w:t>
      </w:r>
    </w:p>
    <w:p w14:paraId="0BD99548" w14:textId="6029ADE1" w:rsidR="00E707E6" w:rsidRDefault="00E707E6" w:rsidP="00E707E6">
      <w:pPr>
        <w:pStyle w:val="ListParagraph"/>
        <w:numPr>
          <w:ilvl w:val="0"/>
          <w:numId w:val="2"/>
        </w:numPr>
      </w:pPr>
      <w:r>
        <w:t>Individuals</w:t>
      </w:r>
      <w:r w:rsidR="00B30811">
        <w:t xml:space="preserve"> -</w:t>
      </w:r>
      <w:r>
        <w:t xml:space="preserve"> for any purpose.</w:t>
      </w:r>
    </w:p>
    <w:p w14:paraId="3540933E" w14:textId="603836F9" w:rsidR="00E707E6" w:rsidRDefault="00E707E6" w:rsidP="00E707E6">
      <w:pPr>
        <w:pStyle w:val="ListParagraph"/>
        <w:numPr>
          <w:ilvl w:val="0"/>
          <w:numId w:val="2"/>
        </w:numPr>
      </w:pPr>
      <w:r>
        <w:t>Statutory bodies including local authorities and their agencies, including replacing cuts in funding by statutory bodies.</w:t>
      </w:r>
    </w:p>
    <w:p w14:paraId="095D922F" w14:textId="5A7AB2DC" w:rsidR="00E707E6" w:rsidRDefault="00E707E6" w:rsidP="00E707E6">
      <w:pPr>
        <w:pStyle w:val="ListParagraph"/>
        <w:numPr>
          <w:ilvl w:val="0"/>
          <w:numId w:val="2"/>
        </w:numPr>
      </w:pPr>
      <w:r>
        <w:t xml:space="preserve">Other grant-making bodies </w:t>
      </w:r>
      <w:r>
        <w:t>(</w:t>
      </w:r>
      <w:r>
        <w:t>except through partnerships</w:t>
      </w:r>
      <w:r>
        <w:t>)</w:t>
      </w:r>
      <w:r>
        <w:t>.</w:t>
      </w:r>
    </w:p>
    <w:p w14:paraId="2082E642" w14:textId="302C9889" w:rsidR="00E707E6" w:rsidRDefault="00E707E6" w:rsidP="00E707E6">
      <w:pPr>
        <w:pStyle w:val="ListParagraph"/>
        <w:numPr>
          <w:ilvl w:val="0"/>
          <w:numId w:val="2"/>
        </w:numPr>
      </w:pPr>
      <w:r>
        <w:t xml:space="preserve">Capital projects. </w:t>
      </w:r>
    </w:p>
    <w:p w14:paraId="03D6EB3E" w14:textId="087D80EA" w:rsidR="00E707E6" w:rsidRDefault="00E707E6" w:rsidP="00E707E6">
      <w:pPr>
        <w:pStyle w:val="ListParagraph"/>
        <w:numPr>
          <w:ilvl w:val="0"/>
          <w:numId w:val="2"/>
        </w:numPr>
      </w:pPr>
      <w:r>
        <w:t>General appeals and special pleading fundraising.</w:t>
      </w:r>
    </w:p>
    <w:sectPr w:rsidR="00E707E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3DF98" w14:textId="77777777" w:rsidR="00895CBA" w:rsidRDefault="00895CBA" w:rsidP="00895CBA">
      <w:pPr>
        <w:spacing w:after="0" w:line="240" w:lineRule="auto"/>
      </w:pPr>
      <w:r>
        <w:separator/>
      </w:r>
    </w:p>
  </w:endnote>
  <w:endnote w:type="continuationSeparator" w:id="0">
    <w:p w14:paraId="780A5C7B" w14:textId="77777777" w:rsidR="00895CBA" w:rsidRDefault="00895CBA" w:rsidP="0089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71915" w14:textId="77777777" w:rsidR="00895CBA" w:rsidRDefault="00895CBA" w:rsidP="00895CBA">
      <w:pPr>
        <w:spacing w:after="0" w:line="240" w:lineRule="auto"/>
      </w:pPr>
      <w:r>
        <w:separator/>
      </w:r>
    </w:p>
  </w:footnote>
  <w:footnote w:type="continuationSeparator" w:id="0">
    <w:p w14:paraId="2E5B7DB5" w14:textId="77777777" w:rsidR="00895CBA" w:rsidRDefault="00895CBA" w:rsidP="00895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2CF2" w14:textId="492692E3" w:rsidR="00895CBA" w:rsidRDefault="00895CBA" w:rsidP="00895CBA">
    <w:pPr>
      <w:pStyle w:val="Header"/>
      <w:jc w:val="right"/>
    </w:pPr>
    <w:r>
      <w:rPr>
        <w:noProof/>
      </w:rPr>
      <w:drawing>
        <wp:inline distT="0" distB="0" distL="0" distR="0" wp14:anchorId="67DDEB39" wp14:editId="14F44330">
          <wp:extent cx="1416050" cy="707276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tes Foundation Logo REDUCED SI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5" cy="732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9146D"/>
    <w:multiLevelType w:val="hybridMultilevel"/>
    <w:tmpl w:val="BDBA0DC6"/>
    <w:lvl w:ilvl="0" w:tplc="B7941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41200"/>
    <w:multiLevelType w:val="hybridMultilevel"/>
    <w:tmpl w:val="8B24583A"/>
    <w:lvl w:ilvl="0" w:tplc="B7941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BA"/>
    <w:rsid w:val="00895CBA"/>
    <w:rsid w:val="00B30811"/>
    <w:rsid w:val="00E7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5A62D"/>
  <w15:chartTrackingRefBased/>
  <w15:docId w15:val="{3AC1928C-72F0-46D5-8205-7C2C5E58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BA"/>
  </w:style>
  <w:style w:type="paragraph" w:styleId="Footer">
    <w:name w:val="footer"/>
    <w:basedOn w:val="Normal"/>
    <w:link w:val="FooterChar"/>
    <w:uiPriority w:val="99"/>
    <w:unhideWhenUsed/>
    <w:rsid w:val="0089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BA"/>
  </w:style>
  <w:style w:type="character" w:styleId="Hyperlink">
    <w:name w:val="Hyperlink"/>
    <w:basedOn w:val="DefaultParagraphFont"/>
    <w:uiPriority w:val="99"/>
    <w:unhideWhenUsed/>
    <w:rsid w:val="00E707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7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0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atesfoundation.org.uk/how-we-wor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Ray</dc:creator>
  <cp:keywords/>
  <dc:description/>
  <cp:lastModifiedBy>Rebecca Ray</cp:lastModifiedBy>
  <cp:revision>2</cp:revision>
  <dcterms:created xsi:type="dcterms:W3CDTF">2022-08-25T11:23:00Z</dcterms:created>
  <dcterms:modified xsi:type="dcterms:W3CDTF">2022-08-25T11:23:00Z</dcterms:modified>
</cp:coreProperties>
</file>